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1" w:rsidRPr="00C80610" w:rsidRDefault="00A00936" w:rsidP="00C80610">
      <w:pPr>
        <w:pStyle w:val="a3"/>
        <w:spacing w:line="360" w:lineRule="auto"/>
        <w:rPr>
          <w:rFonts w:ascii="Times New Roman" w:hAnsi="Times New Roman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>Медичний</w:t>
      </w:r>
      <w:proofErr w:type="spellEnd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 xml:space="preserve"> протокол </w:t>
      </w:r>
      <w:proofErr w:type="spellStart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>команди-учасниці</w:t>
      </w:r>
      <w:proofErr w:type="spellEnd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>Чемпіонату</w:t>
      </w:r>
      <w:proofErr w:type="spellEnd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>/</w:t>
      </w:r>
      <w:proofErr w:type="spellStart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>П</w:t>
      </w:r>
      <w:r w:rsidR="00223A71" w:rsidRPr="00C80610">
        <w:rPr>
          <w:rFonts w:ascii="Times New Roman" w:hAnsi="Times New Roman"/>
          <w:sz w:val="28"/>
          <w:szCs w:val="28"/>
          <w:u w:val="none"/>
          <w:lang w:val="ru-RU"/>
        </w:rPr>
        <w:t>ершості</w:t>
      </w:r>
      <w:proofErr w:type="spellEnd"/>
      <w:r w:rsidR="00223A71" w:rsidRPr="00C80610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proofErr w:type="spellStart"/>
      <w:r w:rsidR="00223A71" w:rsidRPr="00C80610">
        <w:rPr>
          <w:rFonts w:ascii="Times New Roman" w:hAnsi="Times New Roman"/>
          <w:sz w:val="28"/>
          <w:szCs w:val="28"/>
          <w:u w:val="none"/>
          <w:lang w:val="ru-RU"/>
        </w:rPr>
        <w:t>Київської</w:t>
      </w:r>
      <w:proofErr w:type="spellEnd"/>
      <w:r w:rsidR="00223A71" w:rsidRPr="00C80610">
        <w:rPr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proofErr w:type="spellStart"/>
      <w:r w:rsidR="00223A71" w:rsidRPr="00C80610">
        <w:rPr>
          <w:rFonts w:ascii="Times New Roman" w:hAnsi="Times New Roman"/>
          <w:sz w:val="28"/>
          <w:szCs w:val="28"/>
          <w:u w:val="none"/>
          <w:lang w:val="ru-RU"/>
        </w:rPr>
        <w:t>області</w:t>
      </w:r>
      <w:proofErr w:type="spellEnd"/>
      <w:r w:rsidRPr="00C80610">
        <w:rPr>
          <w:rFonts w:ascii="Times New Roman" w:hAnsi="Times New Roman"/>
          <w:sz w:val="28"/>
          <w:szCs w:val="28"/>
          <w:u w:val="none"/>
          <w:lang w:val="ru-RU"/>
        </w:rPr>
        <w:t xml:space="preserve"> 2021 року</w:t>
      </w:r>
    </w:p>
    <w:p w:rsidR="00223A71" w:rsidRPr="00C80610" w:rsidRDefault="00F72062" w:rsidP="00C80610">
      <w:pPr>
        <w:pStyle w:val="a3"/>
        <w:spacing w:line="360" w:lineRule="auto"/>
        <w:rPr>
          <w:rFonts w:ascii="Times New Roman" w:hAnsi="Times New Roman"/>
          <w:sz w:val="28"/>
          <w:szCs w:val="28"/>
          <w:u w:val="none"/>
          <w:lang w:val="ru-RU"/>
        </w:rPr>
      </w:pPr>
      <w:r w:rsidRPr="00C80610">
        <w:rPr>
          <w:rFonts w:ascii="Times New Roman" w:hAnsi="Times New Roman"/>
          <w:sz w:val="28"/>
          <w:szCs w:val="28"/>
          <w:u w:val="none"/>
          <w:lang w:val="ru-RU"/>
        </w:rPr>
        <w:t>_________________________________________________________________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Керівник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аматорського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колективу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r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зобов’язаний надати 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при вході на стадіон </w:t>
      </w:r>
      <w:r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відповідно завірений список тренерів, гравців і обслуговуючого персоналу з </w:t>
      </w:r>
      <w:r w:rsidRPr="00C80610">
        <w:rPr>
          <w:rFonts w:ascii="Times New Roman" w:hAnsi="Times New Roman"/>
          <w:sz w:val="28"/>
          <w:szCs w:val="28"/>
          <w:u w:val="none"/>
        </w:rPr>
        <w:t>обов’язковим</w:t>
      </w:r>
      <w:r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 зазначенням їхньої температури тіла представнику КОАФ.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 Перевірка температури повинна бути організована представниками стадіону при вході на стадіон. Відповідальність за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</w:rPr>
        <w:t xml:space="preserve"> це несе команда – госп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</w:rPr>
        <w:t>одар матчу.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Футболісти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інші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члени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колективу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що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мають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підвищену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температуру і/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або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ознаки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респіраторних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захворювань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не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можуть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бути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присутніми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стадіоні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. 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До списку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кожної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командної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proofErr w:type="gram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делегації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дозволено</w:t>
      </w:r>
      <w:proofErr w:type="gram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вносити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не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більше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25</w:t>
      </w: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осіб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які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будуть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задіяні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матчі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як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офіційні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його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учасники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представники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клубу.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Суворо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попередити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гравців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утримуватися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від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надмірних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емоцій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стримано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святкувати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успіхи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не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вдаючись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до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звичних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церемоній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також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не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допускати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за будь –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яких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обставин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плювки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п</w:t>
      </w:r>
      <w:r w:rsidRPr="00C80610">
        <w:rPr>
          <w:rFonts w:ascii="Times New Roman" w:hAnsi="Times New Roman"/>
          <w:b w:val="0"/>
          <w:sz w:val="28"/>
          <w:szCs w:val="28"/>
          <w:u w:val="none"/>
        </w:rPr>
        <w:t>і</w:t>
      </w: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д час і в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перерві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. 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Вихід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гравців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поле проходить без особливого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групування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без </w:t>
      </w:r>
      <w:proofErr w:type="spellStart"/>
      <w:proofErr w:type="gram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супроводу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юних</w:t>
      </w:r>
      <w:proofErr w:type="spellEnd"/>
      <w:proofErr w:type="gram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футболістів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</w:t>
      </w:r>
      <w:r w:rsidR="00F7206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і </w:t>
      </w: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без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обміну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сувенірами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та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вимпелами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не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допускається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групування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команд для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здійснення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фото.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Церемонія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жеребкуванн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я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право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вибору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половини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поля та початкового удару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має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відбутися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за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участю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арбітрів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капітанів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команд перед початком матчу на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полі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. 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Кожна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команда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зобов'язана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мати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в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своєму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розпорядженні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достатню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кількість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дезинфікуючих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засобів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.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Використання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роздягалень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стадіоні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– заборонено.</w:t>
      </w:r>
    </w:p>
    <w:p w:rsidR="00223A71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Готуючись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до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виходу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поле,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гравці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як і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тренери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працівники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обслуговуючого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персоналу на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лаві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запасних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зобов'язані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дотримуват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ися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соціальної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дистанції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.</w:t>
      </w:r>
    </w:p>
    <w:p w:rsidR="00005B6A" w:rsidRPr="00C80610" w:rsidRDefault="00223A71" w:rsidP="00C80610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Запасні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гравці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фахівці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зобов'язані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використовувати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захисні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маски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під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час матчу.</w:t>
      </w:r>
    </w:p>
    <w:p w:rsidR="00AE7667" w:rsidRPr="00C80610" w:rsidRDefault="00AE7667" w:rsidP="00C80610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Усі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зустрічі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відбуватимуться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без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глядачів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і   за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зачиненими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воротами.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Відповідальність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за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це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покладаєтьс</w:t>
      </w:r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я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на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дирекцію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спортивної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арени</w:t>
      </w:r>
      <w:proofErr w:type="spellEnd"/>
      <w:r w:rsidR="00C02F0E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та господаря поля.</w:t>
      </w:r>
      <w:bookmarkStart w:id="0" w:name="_GoBack"/>
      <w:bookmarkEnd w:id="0"/>
    </w:p>
    <w:p w:rsidR="00C02F0E" w:rsidRPr="00C80610" w:rsidRDefault="00C02F0E" w:rsidP="00C80610">
      <w:pPr>
        <w:pStyle w:val="a3"/>
        <w:spacing w:line="360" w:lineRule="auto"/>
        <w:ind w:left="360"/>
        <w:jc w:val="left"/>
        <w:rPr>
          <w:rFonts w:ascii="Times New Roman" w:hAnsi="Times New Roman"/>
          <w:b w:val="0"/>
          <w:sz w:val="28"/>
          <w:szCs w:val="28"/>
          <w:u w:val="none"/>
          <w:lang w:val="ru-RU"/>
        </w:rPr>
      </w:pP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lastRenderedPageBreak/>
        <w:t xml:space="preserve">11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Арбітр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матчу </w:t>
      </w:r>
      <w:proofErr w:type="spellStart"/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особисто</w:t>
      </w:r>
      <w:proofErr w:type="spellEnd"/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або</w:t>
      </w:r>
      <w:proofErr w:type="spellEnd"/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за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вказівк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ою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делегата-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спостерігача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арбітражу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КОАФ</w:t>
      </w: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має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право не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почина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ти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е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рер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и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вати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,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зупин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я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ти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або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закін</w:t>
      </w:r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ч</w:t>
      </w:r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увати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матч у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випадку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порушень</w:t>
      </w:r>
      <w:proofErr w:type="spellEnd"/>
      <w:r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</w:t>
      </w:r>
      <w:proofErr w:type="spellStart"/>
      <w:r w:rsidR="00A00936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М</w:t>
      </w:r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>едичного</w:t>
      </w:r>
      <w:proofErr w:type="spellEnd"/>
      <w:r w:rsidR="000D31E2" w:rsidRPr="00C80610">
        <w:rPr>
          <w:rFonts w:ascii="Times New Roman" w:hAnsi="Times New Roman"/>
          <w:b w:val="0"/>
          <w:sz w:val="28"/>
          <w:szCs w:val="28"/>
          <w:u w:val="none"/>
          <w:lang w:val="ru-RU"/>
        </w:rPr>
        <w:t xml:space="preserve"> протоколу КОАФ. </w:t>
      </w:r>
    </w:p>
    <w:p w:rsidR="00223A71" w:rsidRPr="00C80610" w:rsidRDefault="00223A71" w:rsidP="00C806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="000D31E2" w:rsidRPr="00C806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членів делегації (не  більше 25</w:t>
      </w: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осіб)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6283"/>
        <w:gridCol w:w="3504"/>
      </w:tblGrid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температура</w:t>
            </w: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446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223A71" w:rsidRPr="00C80610" w:rsidRDefault="00223A71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446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46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0610" w:rsidRPr="00C80610" w:rsidTr="00223A71">
        <w:tc>
          <w:tcPr>
            <w:tcW w:w="675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46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:rsidR="000D31E2" w:rsidRPr="00C80610" w:rsidRDefault="000D31E2" w:rsidP="00C80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3A71" w:rsidRPr="00C80610" w:rsidRDefault="00223A71" w:rsidP="00C8061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A71" w:rsidRPr="00C80610" w:rsidRDefault="00F72062" w:rsidP="00C806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 к</w:t>
      </w:r>
      <w:r w:rsidR="00223A71" w:rsidRPr="00C806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ерівник делегації </w:t>
      </w:r>
      <w:r w:rsidR="00223A71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23A71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23A71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23A71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___________________________</w:t>
      </w:r>
    </w:p>
    <w:p w:rsidR="00223A71" w:rsidRPr="00C80610" w:rsidRDefault="00223A71" w:rsidP="00C806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3A71" w:rsidRPr="00C80610" w:rsidRDefault="00223A71" w:rsidP="00C806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Делегат КОАФ </w:t>
      </w: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062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062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72062"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80610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___________________________</w:t>
      </w:r>
    </w:p>
    <w:p w:rsidR="00223A71" w:rsidRPr="00C80610" w:rsidRDefault="00223A71" w:rsidP="00C806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3A71" w:rsidRPr="00C80610" w:rsidRDefault="00223A71" w:rsidP="00C80610">
      <w:pPr>
        <w:spacing w:line="360" w:lineRule="auto"/>
        <w:rPr>
          <w:sz w:val="24"/>
          <w:szCs w:val="24"/>
          <w:lang w:val="uk-UA"/>
        </w:rPr>
      </w:pPr>
    </w:p>
    <w:sectPr w:rsidR="00223A71" w:rsidRPr="00C80610" w:rsidSect="00223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33FE0"/>
    <w:multiLevelType w:val="hybridMultilevel"/>
    <w:tmpl w:val="8298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1"/>
    <w:rsid w:val="00005B6A"/>
    <w:rsid w:val="000D31E2"/>
    <w:rsid w:val="00223A71"/>
    <w:rsid w:val="00825BE9"/>
    <w:rsid w:val="00A00936"/>
    <w:rsid w:val="00AE7667"/>
    <w:rsid w:val="00C02F0E"/>
    <w:rsid w:val="00C80610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C609-F4D8-4A1A-8C42-6F62023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3A71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52"/>
      <w:szCs w:val="20"/>
      <w:u w:val="single"/>
      <w:lang w:val="uk-UA"/>
    </w:rPr>
  </w:style>
  <w:style w:type="character" w:customStyle="1" w:styleId="a4">
    <w:name w:val="Подзаголовок Знак"/>
    <w:basedOn w:val="a0"/>
    <w:link w:val="a3"/>
    <w:rsid w:val="00223A71"/>
    <w:rPr>
      <w:rFonts w:ascii="Book Antiqua" w:eastAsia="Times New Roman" w:hAnsi="Book Antiqua" w:cs="Times New Roman"/>
      <w:b/>
      <w:sz w:val="52"/>
      <w:szCs w:val="20"/>
      <w:u w:val="single"/>
      <w:lang w:val="uk-UA"/>
    </w:rPr>
  </w:style>
  <w:style w:type="table" w:styleId="a5">
    <w:name w:val="Table Grid"/>
    <w:basedOn w:val="a1"/>
    <w:uiPriority w:val="59"/>
    <w:rsid w:val="0022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2020-06-15T07:41:00Z</cp:lastPrinted>
  <dcterms:created xsi:type="dcterms:W3CDTF">2021-04-01T11:29:00Z</dcterms:created>
  <dcterms:modified xsi:type="dcterms:W3CDTF">2021-04-01T12:22:00Z</dcterms:modified>
</cp:coreProperties>
</file>